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TRAINING FICHE TEMPLATE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5947"/>
        <w:tblGridChange w:id="0">
          <w:tblGrid>
            <w:gridCol w:w="2547"/>
            <w:gridCol w:w="5947"/>
          </w:tblGrid>
        </w:tblGridChange>
      </w:tblGrid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Module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Módulo 2. Unidad 5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Carne 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 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dulces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Keywords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Carne, carne roja, ternera, cordero, caza, embutidos, fiambres,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azúcar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dulces, refrescos, bollería, mermelada</w:t>
            </w:r>
          </w:p>
        </w:tc>
      </w:tr>
      <w:tr>
        <w:trPr>
          <w:cantSplit w:val="0"/>
          <w:trHeight w:val="3455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Topic/Area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9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7"/>
              <w:gridCol w:w="4864"/>
              <w:tblGridChange w:id="0">
                <w:tblGrid>
                  <w:gridCol w:w="427"/>
                  <w:gridCol w:w="48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A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92d050" w:val="clear"/>
                </w:tcPr>
                <w:p w:rsidR="00000000" w:rsidDel="00000000" w:rsidP="00000000" w:rsidRDefault="00000000" w:rsidRPr="00000000" w14:paraId="0000000B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1:  General issues on healthy and low-impact food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5b9bd5" w:val="clear"/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2:  Typical local products and varieties (basic and advanced)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3399" w:val="clear"/>
                </w:tcPr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3: Traditional food preservation/conservation techniques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ff00" w:val="clear"/>
                </w:tcPr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4: Food elaboration/consumption techniques / according to Food Pyramid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9900" w:val="clear"/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5: Traditional, local and heritage related recipes </w:t>
                  </w:r>
                </w:p>
              </w:tc>
            </w:tr>
          </w:tbl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BASIC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Description/Contents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(2000 characters max.)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CARNE Y DULCES</w:t>
            </w:r>
          </w:p>
          <w:p w:rsidR="00000000" w:rsidDel="00000000" w:rsidP="00000000" w:rsidRDefault="00000000" w:rsidRPr="00000000" w14:paraId="00000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cúspide de la pirámide alimentaria está formada por todos aquellos alimentos cuyo consumo debe ser opcional, ocasional y moderado. Por ejemplo, la carne roja y los embutidos, los azúcares, los dulces y las bebidas azucaradas. Una gran variedad de alimentos de distinta naturaleza, pero que tienen en común su alta densidad energética y su alto contenido en sal, azúcares añadidos, así como en grasas saturadas o ácidos grasos trans (AGT), un tipo de ácido graso cuya ingesta excesiva puede ser perjudicial para la salud.</w:t>
            </w:r>
          </w:p>
          <w:p w:rsidR="00000000" w:rsidDel="00000000" w:rsidP="00000000" w:rsidRDefault="00000000" w:rsidRPr="00000000" w14:paraId="0000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carne roja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 llama así porque contiene más mioglobina que la carne blanca. Este grupo incluye la carne de vacuno, de buey, de caballo, algunas partes del cerdo y la carne de caza. Es un tipo de carne más rica en hierro, purinas y grasas que la carne blanca. Aunque gracias a esta composición la carne roja es más sabrosa que las variedades de carne blanca, su consumo debe limitarse para evitar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una ingesta excesiva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 grasas animales saturadas, por lo que se recomienda consumir un máximo de 2 raciones a la semana. </w:t>
            </w:r>
          </w:p>
          <w:p w:rsidR="00000000" w:rsidDel="00000000" w:rsidP="00000000" w:rsidRDefault="00000000" w:rsidRPr="00000000" w14:paraId="0000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carne procesada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es aquella que ha sido transformada mediante salazón, curado, fermentación, ahumado u otros procesos para mejorar su sabor o conservación. Además de varios tipos de carne roja, la carne procesada también puede contener carne de ave, despojos o subproductos cárnicos como la sangre. Algunos ejemplos son: salchichas, salchichones, jamón, carne en conserva, cecina, patés, así como carne en conserva y preparados de carne y salsas.</w:t>
            </w:r>
          </w:p>
          <w:p w:rsidR="00000000" w:rsidDel="00000000" w:rsidP="00000000" w:rsidRDefault="00000000" w:rsidRPr="00000000" w14:paraId="00000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Dulces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Los pasteles, la bollería, la pastelería industrial, los dulces, la confitería, los helados, las mermeladas, la miel, suelen aportar una gran cantidad de azúcares de rápida absorción y a veces también grasas que se consideran poco saludables. Por ello, su consumo debe ser ocasional y esporádico, de vez en cuando como parte de una dieta equilibrada, estableciendo un límite máximo de dos raciones a la semana. Los dulces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suelen estar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elaborados con harina refinada, azúcares, huevos, mantequilla o manteca, chocolate, leche, productos lácteos, etc.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por lo que aportan muchas calorías.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Aunque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miel pertenecería a este grupo, así como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repostería tradicional mediterránea, muy variada y muy buena,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 consumo es algo más recomendable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 la repostería casera se utilizan productos frescos, aditivos naturales, aceite o mantequilla, y frecuentemente se incorporan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frutos secos, semillas y especias, por lo que son 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ás saludables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que los dulces industriales,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aunque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deben consumirse en pequeñas cantidades, reservadas para ocasiones especiales.</w:t>
            </w:r>
          </w:p>
        </w:tc>
      </w:tr>
      <w:tr>
        <w:trPr>
          <w:cantSplit w:val="0"/>
          <w:trHeight w:val="4707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Benefits/Advantages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(1000 characters max.)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carne roja aporta muchos nutrientes, si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 consume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correctamente:</w:t>
            </w:r>
          </w:p>
          <w:p w:rsidR="00000000" w:rsidDel="00000000" w:rsidP="00000000" w:rsidRDefault="00000000" w:rsidRPr="00000000" w14:paraId="0000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Vitamina B12, que ayuda a metabolizar las proteínas, a formar glóbulos rojos y a dar mantenimiento al sistema nervioso central.</w:t>
            </w:r>
          </w:p>
          <w:p w:rsidR="00000000" w:rsidDel="00000000" w:rsidP="00000000" w:rsidRDefault="00000000" w:rsidRPr="00000000" w14:paraId="000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Zinc, que protege contra el daño oxidativo, ayuda a sanar la piel y a crear hemoglobina.</w:t>
            </w:r>
          </w:p>
          <w:p w:rsidR="00000000" w:rsidDel="00000000" w:rsidP="00000000" w:rsidRDefault="00000000" w:rsidRPr="00000000" w14:paraId="00000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Hierro, elemento importante para mantener un adecuado transporte de oxígeno en sangre.</w:t>
            </w:r>
          </w:p>
          <w:p w:rsidR="00000000" w:rsidDel="00000000" w:rsidP="00000000" w:rsidRDefault="00000000" w:rsidRPr="00000000" w14:paraId="0000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jamón serrano es, sin duda, el derivado cárnico por excelencia de la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gastronomía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española, siendo España el mayor productor mundial. Es una carne procesada y curada, fuente de proteínas con un alto contenido en sal, por lo que se recomienda su consumo ocasional. Es variable en grasa (del 9 % al 22 %), además de ser fuente de tiamina (vitamina B1), riboflavina (vitamina B2), vitamina B12, vitamina B6, fósforo y zinc.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Aunque todas las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variedades de jamón curado aportan beneficios similares, el jamón serrano ibérico es especialmente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recomendable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 sabroso.</w:t>
            </w:r>
          </w:p>
          <w:p w:rsidR="00000000" w:rsidDel="00000000" w:rsidP="00000000" w:rsidRDefault="00000000" w:rsidRPr="00000000" w14:paraId="0000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un consumo moderado de carne roja, 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preferible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utilizarla como parte de guisos y recetas que incluyan verduras, legumbres y cereales; las carnes procesadas deben consumirse en pequeñas cantidades o como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parte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 bocadillos o sándwiches. </w:t>
            </w:r>
          </w:p>
          <w:p w:rsidR="00000000" w:rsidDel="00000000" w:rsidP="00000000" w:rsidRDefault="00000000" w:rsidRPr="00000000" w14:paraId="0000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mayoría de los dulces están elaborados con azúcares de rápida absorción, como la sacarosa, la glucosa, la fructosa y la miel, que se caracterizan por aportar energía y aumentar la palatabilidad de los alimentos y bebidas. El azúcar proporciona energía y es 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lave para reponer los depósitos de glucógeno (el combustible del cuerpo) pero 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 necesaria una dosis controlada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evitando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el consumo excesivo de azúcares refinados, ya que este nutriente puede obtenerse de las frutas frescas, los frutos secos como los dátiles, las pasas, los albaricoques secos, las ciruelas pasas y los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zumos naturales, que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son opciones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más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saludables.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Representative Products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Productos cárnicos rojos y curados más representativos del sur de Europa:</w:t>
            </w:r>
          </w:p>
          <w:p w:rsidR="00000000" w:rsidDel="00000000" w:rsidP="00000000" w:rsidRDefault="00000000" w:rsidRPr="00000000" w14:paraId="0000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Italia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Lardo di Colonnata tocino blanco, procedente del lomo del cerdo, recubierto de ajo, pimienta, clavo, perejil, salvia, romero.</w:t>
            </w:r>
          </w:p>
          <w:p w:rsidR="00000000" w:rsidDel="00000000" w:rsidP="00000000" w:rsidRDefault="00000000" w:rsidRPr="00000000" w14:paraId="00000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Bresaola muy similar a las cecinas españolas, elaborada con la carne de las patas traseras de terneros y vacas.</w:t>
            </w:r>
          </w:p>
          <w:p w:rsidR="00000000" w:rsidDel="00000000" w:rsidP="00000000" w:rsidRDefault="00000000" w:rsidRPr="00000000" w14:paraId="000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Culatello elaborado con carne del propio jamón, aromatizado con pimienta, ajo y vino blanco.</w:t>
            </w:r>
          </w:p>
          <w:p w:rsidR="00000000" w:rsidDel="00000000" w:rsidP="00000000" w:rsidRDefault="00000000" w:rsidRPr="00000000" w14:paraId="00000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Grecia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Louza (Λούζα) lomo de cerdo salado en vinagre, pimienta, canela y a veces pimienta y clavo o hinojo.</w:t>
            </w:r>
          </w:p>
          <w:p w:rsidR="00000000" w:rsidDel="00000000" w:rsidP="00000000" w:rsidRDefault="00000000" w:rsidRPr="00000000" w14:paraId="00000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Portugal:</w:t>
            </w:r>
          </w:p>
          <w:p w:rsidR="00000000" w:rsidDel="00000000" w:rsidP="00000000" w:rsidRDefault="00000000" w:rsidRPr="00000000" w14:paraId="0000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Jamón Ibérico DOP Barrancos, considerado el mejor jamón producido en Portugal.</w:t>
            </w:r>
          </w:p>
          <w:p w:rsidR="00000000" w:rsidDel="00000000" w:rsidP="00000000" w:rsidRDefault="00000000" w:rsidRPr="00000000" w14:paraId="00000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Jamón ibérico de Andalucía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Jamón de Jabugo: Sierra de Aracena (norte de Huelva)</w:t>
            </w:r>
          </w:p>
          <w:p w:rsidR="00000000" w:rsidDel="00000000" w:rsidP="00000000" w:rsidRDefault="00000000" w:rsidRPr="00000000" w14:paraId="00000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Jamón de los Pedroches: En el norte de la provincia de Córdoba.</w:t>
            </w:r>
          </w:p>
          <w:p w:rsidR="00000000" w:rsidDel="00000000" w:rsidP="00000000" w:rsidRDefault="00000000" w:rsidRPr="00000000" w14:paraId="00000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La cecina es un tipo de carne seca de origen español, similar al jamón, pero elaborada mediante la curación de carne de vacuno, caballo u otros animales.</w:t>
            </w:r>
          </w:p>
          <w:p w:rsidR="00000000" w:rsidDel="00000000" w:rsidP="00000000" w:rsidRDefault="00000000" w:rsidRPr="00000000" w14:paraId="0000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Los dulces tradicionales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del sur de Europa se elaboran con frutos secos, miel, azúcar, frutas, huevos, licores, leche, etc.</w:t>
            </w:r>
          </w:p>
          <w:p w:rsidR="00000000" w:rsidDel="00000000" w:rsidP="00000000" w:rsidRDefault="00000000" w:rsidRPr="00000000" w14:paraId="00000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 Grecia, los más importantes son:</w:t>
            </w:r>
          </w:p>
          <w:p w:rsidR="00000000" w:rsidDel="00000000" w:rsidP="00000000" w:rsidRDefault="00000000" w:rsidRPr="00000000" w14:paraId="00000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Baclavá. Elaborado con hojaldre, miel, nueces y almendras.</w:t>
            </w:r>
          </w:p>
          <w:p w:rsidR="00000000" w:rsidDel="00000000" w:rsidP="00000000" w:rsidRDefault="00000000" w:rsidRPr="00000000" w14:paraId="0000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Kataifi. Son empanadillas de cabello de ángel con un relleno de almendras, avellanas u otros frutos secos.</w:t>
            </w:r>
          </w:p>
          <w:p w:rsidR="00000000" w:rsidDel="00000000" w:rsidP="00000000" w:rsidRDefault="00000000" w:rsidRPr="00000000" w14:paraId="00000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 Italia:</w:t>
            </w:r>
          </w:p>
          <w:p w:rsidR="00000000" w:rsidDel="00000000" w:rsidP="00000000" w:rsidRDefault="00000000" w:rsidRPr="00000000" w14:paraId="000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Tiramisú. Bizcocho o galleta empapada en café, queso mascarpone, cacao, huevos batidos, azúcar y un toque final de ron o amaretto.</w:t>
            </w:r>
          </w:p>
          <w:p w:rsidR="00000000" w:rsidDel="00000000" w:rsidP="00000000" w:rsidRDefault="00000000" w:rsidRPr="00000000" w14:paraId="0000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Panna cotta. A base de nata o crema de leche a la que se añade azúcar y gelatina para que cuaje.</w:t>
            </w:r>
          </w:p>
          <w:p w:rsidR="00000000" w:rsidDel="00000000" w:rsidP="00000000" w:rsidRDefault="00000000" w:rsidRPr="00000000" w14:paraId="00000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Gelato, un helado denso y cremoso con sabores de avellana, almendra, fresa, etc.</w:t>
            </w:r>
          </w:p>
          <w:p w:rsidR="00000000" w:rsidDel="00000000" w:rsidP="00000000" w:rsidRDefault="00000000" w:rsidRPr="00000000" w14:paraId="00000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 Portugal:</w:t>
            </w:r>
          </w:p>
          <w:p w:rsidR="00000000" w:rsidDel="00000000" w:rsidP="00000000" w:rsidRDefault="00000000" w:rsidRPr="00000000" w14:paraId="00000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Pasteis de Belém o pasteles de nata.</w:t>
            </w:r>
          </w:p>
          <w:p w:rsidR="00000000" w:rsidDel="00000000" w:rsidP="00000000" w:rsidRDefault="00000000" w:rsidRPr="00000000" w14:paraId="00000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Travesseiros de Sintra con hojaldre, huevo, azúcar, almendras y mantequilla</w:t>
            </w:r>
          </w:p>
          <w:p w:rsidR="00000000" w:rsidDel="00000000" w:rsidP="00000000" w:rsidRDefault="00000000" w:rsidRPr="00000000" w14:paraId="00000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Pão de ló, es un bizcocho con una masa más bien esponjosa.</w:t>
            </w:r>
          </w:p>
          <w:p w:rsidR="00000000" w:rsidDel="00000000" w:rsidP="00000000" w:rsidRDefault="00000000" w:rsidRPr="00000000" w14:paraId="00000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Los dulces tradicionales de Andalucía se caracterizan por una clara influencia árabe, que se manifiesta en el uso de almendras y miel. Destacamos la Torta Real de Motril, los tocinos de cielo de Guadix, las torrijas de Semana Santa o los piononos de Santa Fe. Mención especial merecen los reconocidos productos con IGP (Indicación Geográfica Protegida) o ETG (Especialidad Tradicional Garantizada), como los Mantecados y polvorones de Estepa, las tortas de aceite de Castilleja de la Cuesta o los alfajores de Medina Sidonia, en la provincia de Cádiz.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Risks management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 consumo elevado de dulces favorece el sobrepeso y las caries dentales. </w:t>
            </w:r>
          </w:p>
          <w:p w:rsidR="00000000" w:rsidDel="00000000" w:rsidP="00000000" w:rsidRDefault="00000000" w:rsidRPr="00000000" w14:paraId="0000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Reducir el consumo de carne roja a un máximo de dos o tres veces por semana y aumentar la ingesta de verduras puede ayudar a prevenir algunos tipos de cáncer.</w:t>
            </w:r>
          </w:p>
          <w:p w:rsidR="00000000" w:rsidDel="00000000" w:rsidP="00000000" w:rsidRDefault="00000000" w:rsidRPr="00000000" w14:paraId="00000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sobrepeso y la obesidad pueden provocar ciertas enfermedades como la hipertensión, los accidentes cerebrovasculares, el cáncer y la diabetes, por lo que es necesario evitar los productos altamente procesados con alto contenido en grasa y azúcar.</w:t>
            </w:r>
          </w:p>
          <w:p w:rsidR="00000000" w:rsidDel="00000000" w:rsidP="00000000" w:rsidRDefault="00000000" w:rsidRPr="00000000" w14:paraId="00000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impacto medioambiental de los alimentos de este grupo se materializa en las granjas donde se crían los animales y en las industrias que producen dulces.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Español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Country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España</w:t>
            </w:r>
          </w:p>
        </w:tc>
      </w:tr>
      <w:tr>
        <w:trPr>
          <w:cantSplit w:val="0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Providing Partner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70ad47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Further references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https://www.businessinsider.es/como-comer-carnes-rojas-forma-saludable-cirujano-cardiaco-905463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https://www.jamonprive.com/todo-sobre-el-jamon-serrano-e-iberico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https://www.diariosur.es/planes/dulces-tradicionales-malaguenos-20171019130036-nt.html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4" w:lineRule="auto"/>
      <w:ind w:left="-426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With the support of the Erasmus+ programme of the European Union.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8172450</wp:posOffset>
          </wp:positionH>
          <wp:positionV relativeFrom="paragraph">
            <wp:posOffset>-9758678</wp:posOffset>
          </wp:positionV>
          <wp:extent cx="2239963" cy="48895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963" cy="488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4025265</wp:posOffset>
          </wp:positionH>
          <wp:positionV relativeFrom="paragraph">
            <wp:posOffset>56514</wp:posOffset>
          </wp:positionV>
          <wp:extent cx="1801495" cy="393065"/>
          <wp:effectExtent b="0" l="0" r="0" t="0"/>
          <wp:wrapSquare wrapText="bothSides" distB="0" distT="0" distL="114300" distR="114300"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4" w:lineRule="auto"/>
      <w:ind w:left="-426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This document and its contents reflect the views only of the authors, and the 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4" w:lineRule="auto"/>
      <w:ind w:left="-426" w:firstLine="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Commission cannot be held responsible for any use which may be made of the 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4" w:lineRule="auto"/>
      <w:ind w:left="-426" w:firstLine="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information contained therein.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color w:val="4472c4"/>
        <w:sz w:val="24"/>
        <w:szCs w:val="24"/>
      </w:rPr>
      <w:drawing>
        <wp:inline distB="0" distT="0" distL="0" distR="0">
          <wp:extent cx="1866947" cy="935548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4"/>
        <w:szCs w:val="24"/>
        <w:rtl w:val="0"/>
      </w:rPr>
      <w:t xml:space="preserve">                                                           www.fairfoodproject.eu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3692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13692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61369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diariosur.es/planes/dulces-tradicionales-malaguenos-20171019130036-nt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usinessinsider.es/como-comer-carnes-rojas-forma-saludable-cirujano-cardiaco-905463" TargetMode="External"/><Relationship Id="rId8" Type="http://schemas.openxmlformats.org/officeDocument/2006/relationships/hyperlink" Target="https://www.jamonprive.com/todo-sobre-el-jamon-serrano-e-iberico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GrSejS8lxIV1t6K2BOM59oODw==">AMUW2mVGKEDHjKURjvCWFGKHRgeGgKj7OAXmOE9j+ToBKt83OnlA+5oqAainEsZysUEi1cRAlYv7oL6bjZ25o+jERtiAHQra3mXcLciBA/AV+/gErCcCMXGYMt24Zp6b+3ld7IR3oSre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2021-11-08T16:50:00Z</dcterms:created>
  <dc:creator>jmguzmanj@gmail.com</dc:creator>
</cp:coreProperties>
</file>