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ook w:val="04A0" w:firstRow="1" w:lastRow="0" w:firstColumn="1" w:lastColumn="0" w:noHBand="0" w:noVBand="1"/>
      </w:tblPr>
      <w:tblGrid>
        <w:gridCol w:w="2829"/>
        <w:gridCol w:w="5665"/>
      </w:tblGrid>
      <w:tr w:rsidR="00D84D04" w:rsidRPr="00B437DD" w14:paraId="46E5BC5E" w14:textId="77777777" w:rsidTr="00831F19">
        <w:tc>
          <w:tcPr>
            <w:tcW w:w="2972" w:type="dxa"/>
            <w:shd w:val="clear" w:color="auto" w:fill="70AD47" w:themeFill="accent6"/>
          </w:tcPr>
          <w:p w14:paraId="1D2429EB" w14:textId="4C67D7F2" w:rsidR="00D84D04" w:rsidRPr="00B36EF8" w:rsidRDefault="00E16AB0" w:rsidP="00831F19">
            <w:pPr>
              <w:rPr>
                <w:b/>
                <w:bCs/>
                <w:color w:val="FFFFFF" w:themeColor="background1"/>
                <w:sz w:val="24"/>
                <w:szCs w:val="24"/>
                <w:lang w:val="en-GB"/>
              </w:rPr>
            </w:pPr>
            <w:r>
              <w:rPr>
                <w:b/>
                <w:bCs/>
                <w:color w:val="FFFFFF" w:themeColor="background1"/>
                <w:sz w:val="24"/>
                <w:szCs w:val="24"/>
                <w:lang w:val="en-GB"/>
              </w:rPr>
              <w:t>Module</w:t>
            </w:r>
          </w:p>
        </w:tc>
        <w:tc>
          <w:tcPr>
            <w:tcW w:w="5522" w:type="dxa"/>
          </w:tcPr>
          <w:p w14:paraId="0FDB551D" w14:textId="77777777" w:rsidR="001D1CA0" w:rsidRDefault="00E16AB0" w:rsidP="00202690">
            <w:pPr>
              <w:jc w:val="both"/>
              <w:rPr>
                <w:bCs/>
                <w:sz w:val="28"/>
                <w:szCs w:val="28"/>
                <w:lang w:val="fr-FR"/>
              </w:rPr>
            </w:pPr>
            <w:r>
              <w:rPr>
                <w:bCs/>
                <w:sz w:val="28"/>
                <w:szCs w:val="28"/>
                <w:lang w:val="fr-FR"/>
              </w:rPr>
              <w:t>Module</w:t>
            </w:r>
            <w:r w:rsidR="00202690" w:rsidRPr="00202690">
              <w:rPr>
                <w:bCs/>
                <w:sz w:val="28"/>
                <w:szCs w:val="28"/>
                <w:lang w:val="fr-FR"/>
              </w:rPr>
              <w:t xml:space="preserve"> 1 : Questions générales sur l'alimentation saine et à faible impact environnemental</w:t>
            </w:r>
          </w:p>
          <w:p w14:paraId="0F68EA00" w14:textId="0ACA5995" w:rsidR="00E16AB0" w:rsidRPr="00E6043F" w:rsidRDefault="00E16AB0" w:rsidP="00202690">
            <w:pPr>
              <w:jc w:val="both"/>
              <w:rPr>
                <w:bCs/>
                <w:sz w:val="28"/>
                <w:szCs w:val="28"/>
                <w:lang w:val="fr-FR"/>
              </w:rPr>
            </w:pPr>
          </w:p>
        </w:tc>
      </w:tr>
      <w:tr w:rsidR="0079171E" w:rsidRPr="00B437DD" w14:paraId="01DC2721" w14:textId="77777777" w:rsidTr="00831F19">
        <w:tc>
          <w:tcPr>
            <w:tcW w:w="2972"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522" w:type="dxa"/>
          </w:tcPr>
          <w:p w14:paraId="2E38E4FD" w14:textId="7210B574" w:rsidR="00831F19" w:rsidRPr="002E1428" w:rsidRDefault="00202690" w:rsidP="00202690">
            <w:pPr>
              <w:jc w:val="both"/>
              <w:rPr>
                <w:bCs/>
                <w:sz w:val="28"/>
                <w:szCs w:val="28"/>
                <w:lang w:val="fr-FR"/>
              </w:rPr>
            </w:pPr>
            <w:r w:rsidRPr="00202690">
              <w:rPr>
                <w:bCs/>
                <w:sz w:val="28"/>
                <w:szCs w:val="28"/>
                <w:lang w:val="fr-FR"/>
              </w:rPr>
              <w:t>Composition de la pyramide alimentaire méditerranéenne</w:t>
            </w:r>
          </w:p>
          <w:p w14:paraId="5B951890" w14:textId="5B278B48" w:rsidR="001D1CA0" w:rsidRPr="002E1428" w:rsidRDefault="001D1CA0" w:rsidP="00202690">
            <w:pPr>
              <w:jc w:val="both"/>
              <w:rPr>
                <w:bCs/>
                <w:sz w:val="28"/>
                <w:szCs w:val="28"/>
                <w:lang w:val="fr-FR"/>
              </w:rPr>
            </w:pPr>
          </w:p>
        </w:tc>
      </w:tr>
      <w:tr w:rsidR="0079171E" w:rsidRPr="00B36EF8" w14:paraId="4E4D9C13" w14:textId="77777777" w:rsidTr="00831F19">
        <w:tc>
          <w:tcPr>
            <w:tcW w:w="2972"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522" w:type="dxa"/>
          </w:tcPr>
          <w:p w14:paraId="6CED2E06" w14:textId="573D8E84" w:rsidR="00851887" w:rsidRPr="00202690" w:rsidRDefault="00202690" w:rsidP="00202690">
            <w:pPr>
              <w:jc w:val="both"/>
              <w:rPr>
                <w:bCs/>
                <w:sz w:val="28"/>
                <w:szCs w:val="28"/>
                <w:lang w:val="fr-FR"/>
              </w:rPr>
            </w:pPr>
            <w:r w:rsidRPr="00202690">
              <w:rPr>
                <w:bCs/>
                <w:sz w:val="28"/>
                <w:szCs w:val="28"/>
                <w:lang w:val="fr-FR"/>
              </w:rPr>
              <w:t>Régime méditerranéen, santé, pyramide</w:t>
            </w:r>
          </w:p>
          <w:p w14:paraId="2785AD14" w14:textId="6AF52F61" w:rsidR="001D1CA0" w:rsidRPr="002E1428" w:rsidRDefault="001D1CA0" w:rsidP="00202690">
            <w:pPr>
              <w:jc w:val="both"/>
              <w:rPr>
                <w:bCs/>
                <w:sz w:val="28"/>
                <w:szCs w:val="28"/>
                <w:lang w:val="fr-FR"/>
              </w:rPr>
            </w:pPr>
          </w:p>
        </w:tc>
      </w:tr>
      <w:tr w:rsidR="0079171E" w:rsidRPr="00B437DD" w14:paraId="5773B283" w14:textId="77777777" w:rsidTr="001D1CA0">
        <w:trPr>
          <w:trHeight w:val="3455"/>
        </w:trPr>
        <w:tc>
          <w:tcPr>
            <w:tcW w:w="2972"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522" w:type="dxa"/>
          </w:tcPr>
          <w:p w14:paraId="075B4793" w14:textId="77777777" w:rsidR="001D1CA0" w:rsidRPr="00B36EF8" w:rsidRDefault="001D1CA0" w:rsidP="00202690">
            <w:pPr>
              <w:jc w:val="both"/>
              <w:rPr>
                <w:lang w:val="en-GB"/>
              </w:rPr>
            </w:pPr>
          </w:p>
          <w:tbl>
            <w:tblPr>
              <w:tblStyle w:val="Grigliatabella"/>
              <w:tblW w:w="0" w:type="auto"/>
              <w:tblLook w:val="04A0" w:firstRow="1" w:lastRow="0" w:firstColumn="1" w:lastColumn="0" w:noHBand="0" w:noVBand="1"/>
            </w:tblPr>
            <w:tblGrid>
              <w:gridCol w:w="427"/>
              <w:gridCol w:w="4864"/>
            </w:tblGrid>
            <w:tr w:rsidR="001D1CA0" w:rsidRPr="00B437DD" w14:paraId="41DBE52C" w14:textId="77777777" w:rsidTr="001D1CA0">
              <w:tc>
                <w:tcPr>
                  <w:tcW w:w="427" w:type="dxa"/>
                  <w:tcBorders>
                    <w:right w:val="single" w:sz="4" w:space="0" w:color="auto"/>
                  </w:tcBorders>
                </w:tcPr>
                <w:p w14:paraId="174188D7" w14:textId="2A9A11AF" w:rsidR="001D1CA0" w:rsidRPr="00B36EF8" w:rsidRDefault="00E16AB0" w:rsidP="00202690">
                  <w:pPr>
                    <w:jc w:val="both"/>
                    <w:rPr>
                      <w:bCs/>
                      <w:sz w:val="24"/>
                      <w:szCs w:val="24"/>
                      <w:lang w:val="en-GB"/>
                    </w:rPr>
                  </w:pPr>
                  <w:r w:rsidRPr="00E16AB0">
                    <w:rPr>
                      <w:bCs/>
                      <w:sz w:val="24"/>
                      <w:szCs w:val="24"/>
                      <w:lang w:val="en-GB"/>
                    </w:rPr>
                    <w:t>X</w:t>
                  </w:r>
                </w:p>
              </w:tc>
              <w:tc>
                <w:tcPr>
                  <w:tcW w:w="4864" w:type="dxa"/>
                  <w:tcBorders>
                    <w:top w:val="nil"/>
                    <w:left w:val="single" w:sz="4" w:space="0" w:color="auto"/>
                    <w:bottom w:val="nil"/>
                    <w:right w:val="nil"/>
                  </w:tcBorders>
                  <w:shd w:val="clear" w:color="auto" w:fill="92D050"/>
                </w:tcPr>
                <w:p w14:paraId="482B5800" w14:textId="58B75BB6" w:rsidR="001D1CA0" w:rsidRPr="002E1428" w:rsidRDefault="00FD6905" w:rsidP="00202690">
                  <w:pPr>
                    <w:jc w:val="both"/>
                    <w:rPr>
                      <w:bCs/>
                      <w:sz w:val="24"/>
                      <w:szCs w:val="24"/>
                      <w:lang w:val="fr-FR"/>
                    </w:rPr>
                  </w:pPr>
                  <w:r w:rsidRPr="002E1428">
                    <w:rPr>
                      <w:bCs/>
                      <w:sz w:val="24"/>
                      <w:szCs w:val="24"/>
                      <w:lang w:val="fr-FR"/>
                    </w:rPr>
                    <w:t>1 :</w:t>
                  </w:r>
                  <w:r w:rsidR="001D1CA0" w:rsidRPr="002E1428">
                    <w:rPr>
                      <w:bCs/>
                      <w:sz w:val="24"/>
                      <w:szCs w:val="24"/>
                      <w:lang w:val="fr-FR"/>
                    </w:rPr>
                    <w:t xml:space="preserve">  </w:t>
                  </w:r>
                  <w:r w:rsidR="002E1428">
                    <w:rPr>
                      <w:bCs/>
                      <w:sz w:val="24"/>
                      <w:szCs w:val="24"/>
                      <w:lang w:val="fr-FR"/>
                    </w:rPr>
                    <w:t>Questions générales de nourriture salutaire et de faible impact environnemental</w:t>
                  </w:r>
                  <w:r w:rsidR="001D1CA0" w:rsidRPr="002E1428">
                    <w:rPr>
                      <w:bCs/>
                      <w:sz w:val="24"/>
                      <w:szCs w:val="24"/>
                      <w:lang w:val="fr-FR"/>
                    </w:rPr>
                    <w:t xml:space="preserve"> </w:t>
                  </w:r>
                </w:p>
              </w:tc>
            </w:tr>
            <w:tr w:rsidR="001D1CA0" w:rsidRPr="00B437DD" w14:paraId="3686211D" w14:textId="77777777" w:rsidTr="001D1CA0">
              <w:tc>
                <w:tcPr>
                  <w:tcW w:w="427" w:type="dxa"/>
                  <w:tcBorders>
                    <w:right w:val="single" w:sz="4" w:space="0" w:color="auto"/>
                  </w:tcBorders>
                </w:tcPr>
                <w:p w14:paraId="2BF3956A" w14:textId="77777777" w:rsidR="001D1CA0" w:rsidRPr="002E1428" w:rsidRDefault="001D1CA0" w:rsidP="00202690">
                  <w:pPr>
                    <w:jc w:val="both"/>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2E1428" w:rsidRDefault="00FD6905" w:rsidP="00202690">
                  <w:pPr>
                    <w:jc w:val="both"/>
                    <w:rPr>
                      <w:bCs/>
                      <w:sz w:val="24"/>
                      <w:szCs w:val="24"/>
                      <w:lang w:val="fr-FR"/>
                    </w:rPr>
                  </w:pPr>
                  <w:r w:rsidRPr="002E1428">
                    <w:rPr>
                      <w:bCs/>
                      <w:sz w:val="24"/>
                      <w:szCs w:val="24"/>
                      <w:lang w:val="fr-FR"/>
                    </w:rPr>
                    <w:t>2 :</w:t>
                  </w:r>
                  <w:r w:rsidR="001D1CA0" w:rsidRPr="002E1428">
                    <w:rPr>
                      <w:bCs/>
                      <w:sz w:val="24"/>
                      <w:szCs w:val="24"/>
                      <w:lang w:val="fr-FR"/>
                    </w:rPr>
                    <w:t xml:space="preserve">  </w:t>
                  </w:r>
                  <w:r w:rsidR="002E1428">
                    <w:rPr>
                      <w:bCs/>
                      <w:sz w:val="24"/>
                      <w:szCs w:val="24"/>
                      <w:lang w:val="fr-FR"/>
                    </w:rPr>
                    <w:t>Produits typiques locaux et variétés (de base ou avancée)</w:t>
                  </w:r>
                </w:p>
              </w:tc>
            </w:tr>
            <w:tr w:rsidR="001D1CA0" w:rsidRPr="00B437DD" w14:paraId="1865DE18" w14:textId="77777777" w:rsidTr="001D1CA0">
              <w:tc>
                <w:tcPr>
                  <w:tcW w:w="427" w:type="dxa"/>
                  <w:tcBorders>
                    <w:right w:val="single" w:sz="4" w:space="0" w:color="auto"/>
                  </w:tcBorders>
                </w:tcPr>
                <w:p w14:paraId="52B12D6D" w14:textId="77777777" w:rsidR="001D1CA0" w:rsidRPr="002E1428" w:rsidRDefault="001D1CA0" w:rsidP="00202690">
                  <w:pPr>
                    <w:jc w:val="both"/>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1F51C0" w:rsidRDefault="00FD6905" w:rsidP="00202690">
                  <w:pPr>
                    <w:jc w:val="both"/>
                    <w:rPr>
                      <w:bCs/>
                      <w:sz w:val="24"/>
                      <w:szCs w:val="24"/>
                      <w:lang w:val="fr-FR"/>
                    </w:rPr>
                  </w:pPr>
                  <w:r w:rsidRPr="001F51C0">
                    <w:rPr>
                      <w:bCs/>
                      <w:sz w:val="24"/>
                      <w:szCs w:val="24"/>
                      <w:lang w:val="fr-FR"/>
                    </w:rPr>
                    <w:t>3 :</w:t>
                  </w:r>
                  <w:r w:rsidR="001D1CA0" w:rsidRPr="001F51C0">
                    <w:rPr>
                      <w:bCs/>
                      <w:sz w:val="24"/>
                      <w:szCs w:val="24"/>
                      <w:lang w:val="fr-FR"/>
                    </w:rPr>
                    <w:t xml:space="preserve"> </w:t>
                  </w:r>
                  <w:r w:rsidR="001F51C0">
                    <w:rPr>
                      <w:bCs/>
                      <w:sz w:val="24"/>
                      <w:szCs w:val="24"/>
                      <w:lang w:val="fr-FR"/>
                    </w:rPr>
                    <w:t>Techniques de préservation/conservation de la nourriture traditionnelle</w:t>
                  </w:r>
                </w:p>
              </w:tc>
            </w:tr>
            <w:tr w:rsidR="001D1CA0" w:rsidRPr="00B437DD" w14:paraId="3152EF34" w14:textId="77777777" w:rsidTr="001D1CA0">
              <w:tc>
                <w:tcPr>
                  <w:tcW w:w="427" w:type="dxa"/>
                  <w:tcBorders>
                    <w:right w:val="single" w:sz="4" w:space="0" w:color="auto"/>
                  </w:tcBorders>
                </w:tcPr>
                <w:p w14:paraId="17060348" w14:textId="77777777" w:rsidR="001D1CA0" w:rsidRPr="001F51C0" w:rsidRDefault="001D1CA0" w:rsidP="00202690">
                  <w:pPr>
                    <w:jc w:val="both"/>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1F51C0" w:rsidRDefault="00FD6905" w:rsidP="00202690">
                  <w:pPr>
                    <w:jc w:val="both"/>
                    <w:rPr>
                      <w:bCs/>
                      <w:sz w:val="24"/>
                      <w:szCs w:val="24"/>
                      <w:lang w:val="fr-FR"/>
                    </w:rPr>
                  </w:pPr>
                  <w:r w:rsidRPr="001F51C0">
                    <w:rPr>
                      <w:bCs/>
                      <w:sz w:val="24"/>
                      <w:szCs w:val="24"/>
                      <w:lang w:val="fr-FR"/>
                    </w:rPr>
                    <w:t>4 :</w:t>
                  </w:r>
                  <w:r w:rsidR="001D1CA0" w:rsidRPr="001F51C0">
                    <w:rPr>
                      <w:bCs/>
                      <w:sz w:val="24"/>
                      <w:szCs w:val="24"/>
                      <w:lang w:val="fr-FR"/>
                    </w:rPr>
                    <w:t xml:space="preserve"> </w:t>
                  </w:r>
                  <w:r w:rsidR="001F51C0">
                    <w:rPr>
                      <w:bCs/>
                      <w:sz w:val="24"/>
                      <w:szCs w:val="24"/>
                      <w:lang w:val="fr-FR"/>
                    </w:rPr>
                    <w:t xml:space="preserve">Préparation des alimentes/techniques de consommation/selon la </w:t>
                  </w:r>
                  <w:r w:rsidR="00EE2202">
                    <w:rPr>
                      <w:bCs/>
                      <w:sz w:val="24"/>
                      <w:szCs w:val="24"/>
                      <w:lang w:val="fr-FR"/>
                    </w:rPr>
                    <w:t>Pyramide Alimentaire</w:t>
                  </w:r>
                  <w:r w:rsidR="001F51C0">
                    <w:rPr>
                      <w:bCs/>
                      <w:sz w:val="24"/>
                      <w:szCs w:val="24"/>
                      <w:lang w:val="fr-FR"/>
                    </w:rPr>
                    <w:t xml:space="preserve"> </w:t>
                  </w:r>
                </w:p>
              </w:tc>
            </w:tr>
            <w:tr w:rsidR="001D1CA0" w:rsidRPr="00B437DD" w14:paraId="56C97BF6" w14:textId="77777777" w:rsidTr="001D1CA0">
              <w:tc>
                <w:tcPr>
                  <w:tcW w:w="427" w:type="dxa"/>
                  <w:tcBorders>
                    <w:right w:val="single" w:sz="4" w:space="0" w:color="auto"/>
                  </w:tcBorders>
                </w:tcPr>
                <w:p w14:paraId="55AF74CE" w14:textId="13486639" w:rsidR="001D1CA0" w:rsidRPr="00B437DD" w:rsidRDefault="001D1CA0" w:rsidP="00202690">
                  <w:pPr>
                    <w:jc w:val="both"/>
                    <w:rPr>
                      <w:bCs/>
                      <w:sz w:val="24"/>
                      <w:szCs w:val="24"/>
                      <w:lang w:val="fr-FR"/>
                    </w:rPr>
                  </w:pPr>
                </w:p>
              </w:tc>
              <w:tc>
                <w:tcPr>
                  <w:tcW w:w="4864" w:type="dxa"/>
                  <w:tcBorders>
                    <w:top w:val="nil"/>
                    <w:left w:val="single" w:sz="4" w:space="0" w:color="auto"/>
                    <w:bottom w:val="nil"/>
                    <w:right w:val="nil"/>
                  </w:tcBorders>
                  <w:shd w:val="clear" w:color="auto" w:fill="FF9900"/>
                </w:tcPr>
                <w:p w14:paraId="4720F7A6" w14:textId="5037E148" w:rsidR="001D1CA0" w:rsidRPr="001F51C0" w:rsidRDefault="00FD6905" w:rsidP="00202690">
                  <w:pPr>
                    <w:jc w:val="both"/>
                    <w:rPr>
                      <w:bCs/>
                      <w:sz w:val="24"/>
                      <w:szCs w:val="24"/>
                      <w:lang w:val="fr-FR"/>
                    </w:rPr>
                  </w:pPr>
                  <w:r w:rsidRPr="001F51C0">
                    <w:rPr>
                      <w:bCs/>
                      <w:sz w:val="24"/>
                      <w:szCs w:val="24"/>
                      <w:lang w:val="fr-FR"/>
                    </w:rPr>
                    <w:t>5 :</w:t>
                  </w:r>
                  <w:r w:rsidR="001D1CA0" w:rsidRPr="001F51C0">
                    <w:rPr>
                      <w:bCs/>
                      <w:sz w:val="24"/>
                      <w:szCs w:val="24"/>
                      <w:lang w:val="fr-FR"/>
                    </w:rPr>
                    <w:t xml:space="preserve"> </w:t>
                  </w:r>
                  <w:r w:rsidR="001F51C0">
                    <w:rPr>
                      <w:bCs/>
                      <w:sz w:val="24"/>
                      <w:szCs w:val="24"/>
                      <w:lang w:val="fr-FR"/>
                    </w:rPr>
                    <w:t xml:space="preserve">Recettes traditionnelles, locales et </w:t>
                  </w:r>
                  <w:r w:rsidR="00E16AB0">
                    <w:rPr>
                      <w:bCs/>
                      <w:sz w:val="24"/>
                      <w:szCs w:val="24"/>
                      <w:lang w:val="fr-FR"/>
                    </w:rPr>
                    <w:t>liées au patrimoine culturel</w:t>
                  </w:r>
                </w:p>
              </w:tc>
            </w:tr>
          </w:tbl>
          <w:p w14:paraId="719AB737" w14:textId="171AC544" w:rsidR="00831F19" w:rsidRPr="001F51C0" w:rsidRDefault="00831F19" w:rsidP="00202690">
            <w:pPr>
              <w:jc w:val="both"/>
              <w:rPr>
                <w:bCs/>
                <w:sz w:val="28"/>
                <w:szCs w:val="28"/>
                <w:lang w:val="fr-FR"/>
              </w:rPr>
            </w:pPr>
          </w:p>
        </w:tc>
      </w:tr>
      <w:tr w:rsidR="0079171E" w:rsidRPr="00B36EF8" w14:paraId="00DE8342" w14:textId="77777777" w:rsidTr="00831F19">
        <w:tc>
          <w:tcPr>
            <w:tcW w:w="2972"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522" w:type="dxa"/>
          </w:tcPr>
          <w:p w14:paraId="2E049540" w14:textId="7781F498" w:rsidR="00831F19" w:rsidRPr="007658B3" w:rsidRDefault="00A0047C" w:rsidP="00202690">
            <w:pPr>
              <w:jc w:val="both"/>
              <w:rPr>
                <w:bCs/>
                <w:sz w:val="28"/>
                <w:szCs w:val="28"/>
                <w:lang w:val="fr-FR"/>
              </w:rPr>
            </w:pPr>
            <w:r w:rsidRPr="007658B3">
              <w:rPr>
                <w:bCs/>
                <w:sz w:val="28"/>
                <w:szCs w:val="28"/>
                <w:lang w:val="fr-FR"/>
              </w:rPr>
              <w:t>Bas</w:t>
            </w:r>
            <w:r w:rsidR="007658B3" w:rsidRPr="007658B3">
              <w:rPr>
                <w:bCs/>
                <w:sz w:val="28"/>
                <w:szCs w:val="28"/>
                <w:lang w:val="fr-FR"/>
              </w:rPr>
              <w:t>e</w:t>
            </w:r>
          </w:p>
        </w:tc>
      </w:tr>
      <w:tr w:rsidR="0079171E" w:rsidRPr="00B437DD" w14:paraId="2C971184" w14:textId="77777777" w:rsidTr="001D1CA0">
        <w:trPr>
          <w:trHeight w:val="8709"/>
        </w:trPr>
        <w:tc>
          <w:tcPr>
            <w:tcW w:w="2972" w:type="dxa"/>
            <w:shd w:val="clear" w:color="auto" w:fill="70AD47" w:themeFill="accent6"/>
          </w:tcPr>
          <w:p w14:paraId="5E888782" w14:textId="094FF72A" w:rsidR="00831F19" w:rsidRPr="002820F2" w:rsidRDefault="00831F19" w:rsidP="00831F19">
            <w:pPr>
              <w:rPr>
                <w:b/>
                <w:bCs/>
                <w:color w:val="FFFFFF" w:themeColor="background1"/>
                <w:sz w:val="24"/>
                <w:szCs w:val="24"/>
                <w:lang w:val="fr-FR"/>
              </w:rPr>
            </w:pPr>
            <w:r w:rsidRPr="002820F2">
              <w:rPr>
                <w:b/>
                <w:bCs/>
                <w:color w:val="FFFFFF" w:themeColor="background1"/>
                <w:sz w:val="24"/>
                <w:szCs w:val="24"/>
                <w:lang w:val="fr-FR"/>
              </w:rPr>
              <w:lastRenderedPageBreak/>
              <w:t>Description/Co</w:t>
            </w:r>
            <w:r w:rsidR="002820F2">
              <w:rPr>
                <w:b/>
                <w:bCs/>
                <w:color w:val="FFFFFF" w:themeColor="background1"/>
                <w:sz w:val="24"/>
                <w:szCs w:val="24"/>
                <w:lang w:val="fr-FR"/>
              </w:rPr>
              <w:t>ntenu</w:t>
            </w:r>
          </w:p>
          <w:p w14:paraId="735E27A2" w14:textId="47E39A72" w:rsidR="00831F19" w:rsidRPr="00B36EF8" w:rsidRDefault="00831F19" w:rsidP="00831F19">
            <w:pPr>
              <w:rPr>
                <w:b/>
                <w:bCs/>
                <w:color w:val="FFFFFF" w:themeColor="background1"/>
                <w:sz w:val="24"/>
                <w:szCs w:val="24"/>
                <w:lang w:val="en-GB"/>
              </w:rPr>
            </w:pPr>
          </w:p>
        </w:tc>
        <w:tc>
          <w:tcPr>
            <w:tcW w:w="5522" w:type="dxa"/>
          </w:tcPr>
          <w:p w14:paraId="3CB062C4" w14:textId="77777777" w:rsidR="00E16AB0" w:rsidRDefault="00202690" w:rsidP="00202690">
            <w:pPr>
              <w:jc w:val="both"/>
              <w:rPr>
                <w:bCs/>
                <w:sz w:val="28"/>
                <w:szCs w:val="28"/>
                <w:lang w:val="fr-FR"/>
              </w:rPr>
            </w:pPr>
            <w:r w:rsidRPr="00202690">
              <w:rPr>
                <w:bCs/>
                <w:sz w:val="28"/>
                <w:szCs w:val="28"/>
                <w:lang w:val="fr-FR"/>
              </w:rPr>
              <w:t xml:space="preserve">Le régime méditerranéen (RM) est un mode de vie qui protège la santé humaine et l'écosystème. </w:t>
            </w:r>
          </w:p>
          <w:p w14:paraId="3908B1CF" w14:textId="77777777" w:rsidR="00E16AB0" w:rsidRDefault="00202690" w:rsidP="00202690">
            <w:pPr>
              <w:jc w:val="both"/>
              <w:rPr>
                <w:bCs/>
                <w:sz w:val="28"/>
                <w:szCs w:val="28"/>
                <w:lang w:val="fr-FR"/>
              </w:rPr>
            </w:pPr>
            <w:r w:rsidRPr="00202690">
              <w:rPr>
                <w:bCs/>
                <w:sz w:val="28"/>
                <w:szCs w:val="28"/>
                <w:lang w:val="fr-FR"/>
              </w:rPr>
              <w:t>La première représentation graphique des groupes d'aliments commence avec la roue alimentaire en 1970, puis la pyramide alimentaire est apparue. Le régime méditerranéen MD est basé sur les cuisines traditionnelles de la Grèce, de l'Italie, de l'Espagne, du Portugal et d'autres pays de la mer Méditerranée. À la base de la pyramide, on trouve des habitudes saines (activité physique quotidienne, sommeil suffisant, utilisation de produits traditionnels et locaux, respect de l'environnement).  L'hydratation est l'une des habitudes les plus importantes à prendre en compte. La consommation e d'eau, entre 1,5 et 2 litres par jour, dépend des besoins hydriques de chaque personne. L'utilisation d'huile d'olive extra vierge est la principale source de lipides. Les légumes et les fruits frais doivent être consommés en abondance, au moins 5 portions par jour. Comme source d'hydrates de carbone, il faut incorporer le pain, les pâtes et le riz dans leur version intégrale.</w:t>
            </w:r>
            <w:r>
              <w:rPr>
                <w:bCs/>
                <w:sz w:val="28"/>
                <w:szCs w:val="28"/>
                <w:lang w:val="fr-FR"/>
              </w:rPr>
              <w:t xml:space="preserve"> On va incorporer</w:t>
            </w:r>
            <w:r w:rsidRPr="00202690">
              <w:rPr>
                <w:bCs/>
                <w:sz w:val="28"/>
                <w:szCs w:val="28"/>
                <w:lang w:val="fr-FR"/>
              </w:rPr>
              <w:t xml:space="preserve"> le pain, les pâtes et le riz dans leur version intégrale.</w:t>
            </w:r>
          </w:p>
          <w:p w14:paraId="3DF194CE" w14:textId="77777777" w:rsidR="00E16AB0" w:rsidRDefault="00202690" w:rsidP="00202690">
            <w:pPr>
              <w:jc w:val="both"/>
              <w:rPr>
                <w:bCs/>
                <w:sz w:val="28"/>
                <w:szCs w:val="28"/>
                <w:lang w:val="fr-FR"/>
              </w:rPr>
            </w:pPr>
            <w:r w:rsidRPr="00202690">
              <w:rPr>
                <w:bCs/>
                <w:sz w:val="28"/>
                <w:szCs w:val="28"/>
                <w:lang w:val="fr-FR"/>
              </w:rPr>
              <w:t xml:space="preserve"> </w:t>
            </w:r>
          </w:p>
          <w:p w14:paraId="4748D61D" w14:textId="1D9A27B2" w:rsidR="00CD1635" w:rsidRPr="00F07BCD" w:rsidRDefault="00202690" w:rsidP="00202690">
            <w:pPr>
              <w:jc w:val="both"/>
              <w:rPr>
                <w:bCs/>
                <w:sz w:val="28"/>
                <w:szCs w:val="28"/>
                <w:lang w:val="fr-FR"/>
              </w:rPr>
            </w:pPr>
            <w:r w:rsidRPr="00202690">
              <w:rPr>
                <w:bCs/>
                <w:sz w:val="28"/>
                <w:szCs w:val="28"/>
                <w:lang w:val="fr-FR"/>
              </w:rPr>
              <w:t xml:space="preserve">L'utilisation de l'ail et de l'oignon est mise en avant, ainsi que les épices et les noix. </w:t>
            </w:r>
            <w:r>
              <w:rPr>
                <w:bCs/>
                <w:sz w:val="28"/>
                <w:szCs w:val="28"/>
                <w:lang w:val="fr-FR"/>
              </w:rPr>
              <w:t>La consommation</w:t>
            </w:r>
            <w:r w:rsidRPr="00202690">
              <w:rPr>
                <w:bCs/>
                <w:sz w:val="28"/>
                <w:szCs w:val="28"/>
                <w:lang w:val="fr-FR"/>
              </w:rPr>
              <w:t xml:space="preserve"> des produits laitiers comme le yaourt et le fromage doit être consommé tous les jours, mieux avec une faible teneur en matières grasses. Mangez du poisson en abondance et des œufs avec modération. La viande rouge, les sucreries et les gâteaux ne doivent être consommés qu'à l'occasion. La </w:t>
            </w:r>
            <w:r w:rsidRPr="00202690">
              <w:rPr>
                <w:bCs/>
                <w:sz w:val="28"/>
                <w:szCs w:val="28"/>
                <w:lang w:val="fr-FR"/>
              </w:rPr>
              <w:lastRenderedPageBreak/>
              <w:t>principale différence avec la pyramide alimentaire actuelle (SENC, 2020) est que nous trouvons les hydrates de carbone (pain, pâte, riz...) de préférence en grains entiers, à la base de la pyramide. Dans les niveaux suivants, on trouve les fruits et légumes, l'huile d'olive extra vierge, les viandes blanches, le poisson, les légumineuses, les œufs, les noix et les produits laitiers. Les derniers niveaux incluent la viande rouge, les aliments transformés et les saucisses, les sucreries et les gâteaux uniquement à l'occasion.</w:t>
            </w:r>
          </w:p>
          <w:p w14:paraId="28B49CFD" w14:textId="77777777" w:rsidR="00F07BCD" w:rsidRPr="00CB621A" w:rsidRDefault="00F07BCD">
            <w:pPr>
              <w:rPr>
                <w:bCs/>
                <w:sz w:val="28"/>
                <w:szCs w:val="28"/>
                <w:lang w:val="fr-FR"/>
              </w:rPr>
            </w:pPr>
          </w:p>
          <w:p w14:paraId="1309DBE5" w14:textId="77777777" w:rsidR="000A7B91" w:rsidRPr="00D21158" w:rsidRDefault="000A7B91">
            <w:pPr>
              <w:rPr>
                <w:bCs/>
                <w:sz w:val="28"/>
                <w:szCs w:val="28"/>
                <w:lang w:val="fr-FR"/>
              </w:rPr>
            </w:pPr>
            <w:bookmarkStart w:id="0" w:name="_Hlk87198728"/>
          </w:p>
          <w:bookmarkEnd w:id="0"/>
          <w:p w14:paraId="7E235594" w14:textId="0FE9030A" w:rsidR="002C4D1B" w:rsidRPr="00960920" w:rsidRDefault="002C4D1B" w:rsidP="00FA2D12">
            <w:pPr>
              <w:rPr>
                <w:bCs/>
                <w:sz w:val="28"/>
                <w:szCs w:val="28"/>
                <w:lang w:val="fr-FR"/>
              </w:rPr>
            </w:pPr>
          </w:p>
        </w:tc>
      </w:tr>
      <w:tr w:rsidR="0079171E" w:rsidRPr="00B437DD" w14:paraId="0DA3573B" w14:textId="77777777" w:rsidTr="001D1CA0">
        <w:trPr>
          <w:trHeight w:val="4863"/>
        </w:trPr>
        <w:tc>
          <w:tcPr>
            <w:tcW w:w="2972"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1D8019AD" w:rsidR="00831F19" w:rsidRPr="00B36EF8" w:rsidRDefault="00831F19" w:rsidP="00981178">
            <w:pPr>
              <w:rPr>
                <w:b/>
                <w:bCs/>
                <w:color w:val="FFFFFF" w:themeColor="background1"/>
                <w:sz w:val="24"/>
                <w:szCs w:val="24"/>
                <w:lang w:val="en-GB"/>
              </w:rPr>
            </w:pPr>
          </w:p>
        </w:tc>
        <w:tc>
          <w:tcPr>
            <w:tcW w:w="5522" w:type="dxa"/>
          </w:tcPr>
          <w:p w14:paraId="0F14A96F" w14:textId="77777777" w:rsidR="00E16AB0" w:rsidRDefault="00202690" w:rsidP="00FA2D12">
            <w:pPr>
              <w:jc w:val="both"/>
              <w:rPr>
                <w:bCs/>
                <w:sz w:val="28"/>
                <w:szCs w:val="28"/>
                <w:lang w:val="fr-FR"/>
              </w:rPr>
            </w:pPr>
            <w:r w:rsidRPr="00202690">
              <w:rPr>
                <w:bCs/>
                <w:sz w:val="28"/>
                <w:szCs w:val="28"/>
                <w:lang w:val="fr-FR"/>
              </w:rPr>
              <w:t xml:space="preserve">La pyramide du régime méditerranéen est un outil d'éducation et de santé publique. Elle est présentée dans un graphique de manière simple, avec des exemples de produits alimentaires et leur fréquence de consommation. </w:t>
            </w:r>
          </w:p>
          <w:p w14:paraId="7F385317" w14:textId="77777777" w:rsidR="00E16AB0" w:rsidRDefault="00202690" w:rsidP="00FA2D12">
            <w:pPr>
              <w:jc w:val="both"/>
              <w:rPr>
                <w:bCs/>
                <w:sz w:val="28"/>
                <w:szCs w:val="28"/>
                <w:lang w:val="fr-FR"/>
              </w:rPr>
            </w:pPr>
            <w:r w:rsidRPr="00202690">
              <w:rPr>
                <w:bCs/>
                <w:sz w:val="28"/>
                <w:szCs w:val="28"/>
                <w:lang w:val="fr-FR"/>
              </w:rPr>
              <w:t xml:space="preserve">La pyramide MD est adaptée à l'alimentation locale et traditionnelle des pays ayant cette culture et ces habitudes. </w:t>
            </w:r>
          </w:p>
          <w:p w14:paraId="618BBC09" w14:textId="26B4C00C" w:rsidR="00960920" w:rsidRDefault="00202690" w:rsidP="00FA2D12">
            <w:pPr>
              <w:jc w:val="both"/>
              <w:rPr>
                <w:bCs/>
                <w:sz w:val="28"/>
                <w:szCs w:val="28"/>
                <w:lang w:val="fr-FR"/>
              </w:rPr>
            </w:pPr>
            <w:r w:rsidRPr="00202690">
              <w:rPr>
                <w:bCs/>
                <w:sz w:val="28"/>
                <w:szCs w:val="28"/>
                <w:lang w:val="fr-FR"/>
              </w:rPr>
              <w:t>Le régime méditerranéen n'est pas seulement un régime alimentaire en soi, mais un mode de vie qui combine la sociabilité, la technologie culinaire, l'activité physique, ainsi que des recommandations sur les proportions et la fréquence de consommation des aliments.</w:t>
            </w:r>
          </w:p>
          <w:p w14:paraId="06E155C0" w14:textId="77E68510" w:rsidR="00E16AB0" w:rsidRPr="00960920" w:rsidRDefault="00E16AB0" w:rsidP="00FA2D12">
            <w:pPr>
              <w:jc w:val="both"/>
              <w:rPr>
                <w:bCs/>
                <w:sz w:val="28"/>
                <w:szCs w:val="28"/>
                <w:lang w:val="fr-FR"/>
              </w:rPr>
            </w:pPr>
          </w:p>
        </w:tc>
      </w:tr>
      <w:tr w:rsidR="0079171E" w:rsidRPr="00B437DD" w14:paraId="4ABCC69F" w14:textId="77777777" w:rsidTr="00831F19">
        <w:tc>
          <w:tcPr>
            <w:tcW w:w="2972"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522" w:type="dxa"/>
          </w:tcPr>
          <w:p w14:paraId="624BCD90" w14:textId="5A86C020" w:rsidR="00831F19" w:rsidRPr="00D21158" w:rsidRDefault="00202690" w:rsidP="00202690">
            <w:pPr>
              <w:jc w:val="both"/>
              <w:rPr>
                <w:bCs/>
                <w:sz w:val="28"/>
                <w:szCs w:val="28"/>
                <w:lang w:val="fr-FR"/>
              </w:rPr>
            </w:pPr>
            <w:r w:rsidRPr="00202690">
              <w:rPr>
                <w:bCs/>
                <w:sz w:val="28"/>
                <w:szCs w:val="28"/>
                <w:lang w:val="fr-FR"/>
              </w:rPr>
              <w:t>Fruits, légumes, pain, ail, oignon, noix, graines, huile d'olive, fromage et yaourt.</w:t>
            </w:r>
          </w:p>
          <w:p w14:paraId="5CF8AAC9" w14:textId="77777777" w:rsidR="007A7710" w:rsidRPr="00202690" w:rsidRDefault="007A7710">
            <w:pPr>
              <w:rPr>
                <w:bCs/>
                <w:sz w:val="28"/>
                <w:szCs w:val="28"/>
                <w:lang w:val="fr-FR"/>
              </w:rPr>
            </w:pPr>
          </w:p>
        </w:tc>
      </w:tr>
      <w:tr w:rsidR="0079171E" w:rsidRPr="00B437DD" w14:paraId="16F9F1BC" w14:textId="77777777" w:rsidTr="00831F19">
        <w:tc>
          <w:tcPr>
            <w:tcW w:w="2972"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522" w:type="dxa"/>
          </w:tcPr>
          <w:p w14:paraId="2A6E2622" w14:textId="77777777" w:rsidR="00E16AB0" w:rsidRDefault="000F0148" w:rsidP="000F0148">
            <w:pPr>
              <w:jc w:val="both"/>
              <w:rPr>
                <w:bCs/>
                <w:sz w:val="28"/>
                <w:szCs w:val="28"/>
                <w:lang w:val="fr-FR"/>
              </w:rPr>
            </w:pPr>
            <w:r w:rsidRPr="000F0148">
              <w:rPr>
                <w:bCs/>
                <w:sz w:val="28"/>
                <w:szCs w:val="28"/>
                <w:lang w:val="fr-FR"/>
              </w:rPr>
              <w:t xml:space="preserve">Le risque majeur de la pyramide alimentaire pourrait être une mauvaise interprétation. Il s'agit d'une représentation graphique avec des symboles et des nombres spécifiques de portions quotidiennes recommandées. </w:t>
            </w:r>
          </w:p>
          <w:p w14:paraId="0BD90331" w14:textId="5EB9B147" w:rsidR="000F0148" w:rsidRPr="000F0148" w:rsidRDefault="000F0148" w:rsidP="000F0148">
            <w:pPr>
              <w:jc w:val="both"/>
              <w:rPr>
                <w:bCs/>
                <w:sz w:val="28"/>
                <w:szCs w:val="28"/>
                <w:lang w:val="fr-FR"/>
              </w:rPr>
            </w:pPr>
            <w:r w:rsidRPr="000F0148">
              <w:rPr>
                <w:bCs/>
                <w:sz w:val="28"/>
                <w:szCs w:val="28"/>
                <w:lang w:val="fr-FR"/>
              </w:rPr>
              <w:t>Certains auteurs ont proposé d'autres formes de représentation graphique</w:t>
            </w:r>
            <w:r w:rsidR="00E16AB0">
              <w:rPr>
                <w:bCs/>
                <w:sz w:val="28"/>
                <w:szCs w:val="28"/>
                <w:lang w:val="fr-FR"/>
              </w:rPr>
              <w:t>,</w:t>
            </w:r>
            <w:r w:rsidRPr="000F0148">
              <w:rPr>
                <w:bCs/>
                <w:sz w:val="28"/>
                <w:szCs w:val="28"/>
                <w:lang w:val="fr-FR"/>
              </w:rPr>
              <w:t xml:space="preserve"> comme la roue alimentaire ou l'assiette.</w:t>
            </w:r>
          </w:p>
          <w:p w14:paraId="4379F7DF" w14:textId="77777777" w:rsidR="001D1CA0" w:rsidRDefault="000F0148" w:rsidP="000F0148">
            <w:pPr>
              <w:jc w:val="both"/>
              <w:rPr>
                <w:bCs/>
                <w:sz w:val="28"/>
                <w:szCs w:val="28"/>
                <w:lang w:val="fr-FR"/>
              </w:rPr>
            </w:pPr>
            <w:r w:rsidRPr="000F0148">
              <w:rPr>
                <w:bCs/>
                <w:sz w:val="28"/>
                <w:szCs w:val="28"/>
                <w:lang w:val="fr-FR"/>
              </w:rPr>
              <w:t>Un autre risque préoccupant est que les informations doivent être continuellement mises à jour.</w:t>
            </w:r>
          </w:p>
          <w:p w14:paraId="314AA072" w14:textId="2ED8852E" w:rsidR="00E16AB0" w:rsidRPr="004705B1" w:rsidRDefault="00E16AB0" w:rsidP="000F0148">
            <w:pPr>
              <w:jc w:val="both"/>
              <w:rPr>
                <w:bCs/>
                <w:sz w:val="28"/>
                <w:szCs w:val="28"/>
                <w:lang w:val="fr-FR"/>
              </w:rPr>
            </w:pPr>
          </w:p>
        </w:tc>
      </w:tr>
      <w:tr w:rsidR="002C4D1B" w:rsidRPr="00B36EF8" w14:paraId="6911065C" w14:textId="77777777" w:rsidTr="00831F19">
        <w:tc>
          <w:tcPr>
            <w:tcW w:w="2972"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5522" w:type="dxa"/>
          </w:tcPr>
          <w:p w14:paraId="62260EC2" w14:textId="17B54201" w:rsidR="002C4D1B" w:rsidRPr="000F0148" w:rsidRDefault="00B437DD">
            <w:pPr>
              <w:rPr>
                <w:bCs/>
                <w:sz w:val="28"/>
                <w:szCs w:val="28"/>
                <w:lang w:val="fr-FR"/>
              </w:rPr>
            </w:pPr>
            <w:r>
              <w:rPr>
                <w:bCs/>
                <w:sz w:val="28"/>
                <w:szCs w:val="28"/>
                <w:lang w:val="fr-FR"/>
              </w:rPr>
              <w:t xml:space="preserve">Français </w:t>
            </w:r>
          </w:p>
        </w:tc>
      </w:tr>
      <w:tr w:rsidR="0079171E" w:rsidRPr="00B36EF8" w14:paraId="3019DFFB" w14:textId="77777777" w:rsidTr="00831F19">
        <w:tc>
          <w:tcPr>
            <w:tcW w:w="2972"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5522" w:type="dxa"/>
          </w:tcPr>
          <w:p w14:paraId="6B8D8AFC" w14:textId="5D6022FB" w:rsidR="00831F19" w:rsidRPr="00D21158" w:rsidRDefault="000F0148">
            <w:pPr>
              <w:rPr>
                <w:bCs/>
                <w:sz w:val="28"/>
                <w:szCs w:val="28"/>
                <w:lang w:val="fr-FR"/>
              </w:rPr>
            </w:pPr>
            <w:r>
              <w:rPr>
                <w:bCs/>
                <w:sz w:val="28"/>
                <w:szCs w:val="28"/>
                <w:lang w:val="fr-FR"/>
              </w:rPr>
              <w:t>Espagne</w:t>
            </w:r>
          </w:p>
        </w:tc>
      </w:tr>
      <w:tr w:rsidR="0079171E" w:rsidRPr="00B36EF8" w14:paraId="3E056CAB" w14:textId="77777777" w:rsidTr="00831F19">
        <w:tc>
          <w:tcPr>
            <w:tcW w:w="2972" w:type="dxa"/>
            <w:shd w:val="clear" w:color="auto" w:fill="70AD47" w:themeFill="accent6"/>
          </w:tcPr>
          <w:p w14:paraId="6BB27287" w14:textId="66F726FF"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E16AB0">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522" w:type="dxa"/>
          </w:tcPr>
          <w:p w14:paraId="37E096C9" w14:textId="5917E30E" w:rsidR="00831F19" w:rsidRPr="00B36EF8" w:rsidRDefault="000F0148">
            <w:pPr>
              <w:rPr>
                <w:bCs/>
                <w:sz w:val="28"/>
                <w:szCs w:val="28"/>
                <w:lang w:val="en-GB"/>
              </w:rPr>
            </w:pPr>
            <w:r>
              <w:rPr>
                <w:bCs/>
                <w:sz w:val="28"/>
                <w:szCs w:val="28"/>
                <w:lang w:val="en-GB"/>
              </w:rPr>
              <w:t>UMA</w:t>
            </w:r>
          </w:p>
        </w:tc>
      </w:tr>
      <w:tr w:rsidR="0079171E" w:rsidRPr="00B437DD" w14:paraId="46CA7BD8" w14:textId="77777777" w:rsidTr="001D1CA0">
        <w:trPr>
          <w:trHeight w:val="3440"/>
        </w:trPr>
        <w:tc>
          <w:tcPr>
            <w:tcW w:w="2972" w:type="dxa"/>
            <w:shd w:val="clear" w:color="auto" w:fill="70AD47" w:themeFill="accent6"/>
          </w:tcPr>
          <w:p w14:paraId="301E054F" w14:textId="78F53AC9" w:rsidR="00831F19" w:rsidRPr="00CA57EB" w:rsidRDefault="00FA2D12" w:rsidP="00831F19">
            <w:pPr>
              <w:rPr>
                <w:b/>
                <w:bCs/>
                <w:color w:val="FFFFFF" w:themeColor="background1"/>
                <w:sz w:val="24"/>
                <w:szCs w:val="24"/>
                <w:lang w:val="fr-FR"/>
              </w:rPr>
            </w:pPr>
            <w:r>
              <w:rPr>
                <w:b/>
                <w:bCs/>
                <w:color w:val="FFFFFF" w:themeColor="background1"/>
                <w:sz w:val="24"/>
                <w:szCs w:val="24"/>
                <w:lang w:val="fr-FR"/>
              </w:rPr>
              <w:lastRenderedPageBreak/>
              <w:t>Lire la suite</w:t>
            </w:r>
          </w:p>
        </w:tc>
        <w:tc>
          <w:tcPr>
            <w:tcW w:w="5522" w:type="dxa"/>
          </w:tcPr>
          <w:p w14:paraId="4FE297C9" w14:textId="77777777" w:rsidR="00831F19" w:rsidRPr="00E16AB0" w:rsidRDefault="00831F19">
            <w:pPr>
              <w:rPr>
                <w:bCs/>
                <w:sz w:val="28"/>
                <w:szCs w:val="28"/>
                <w:lang w:val="fr-FR"/>
              </w:rPr>
            </w:pPr>
          </w:p>
          <w:p w14:paraId="629D3F49" w14:textId="2A7871E2" w:rsidR="000F0148" w:rsidRPr="00E16AB0" w:rsidRDefault="00397AC7" w:rsidP="00460852">
            <w:pPr>
              <w:jc w:val="both"/>
              <w:rPr>
                <w:bCs/>
                <w:color w:val="4472C4" w:themeColor="accent1"/>
                <w:sz w:val="28"/>
                <w:szCs w:val="28"/>
                <w:u w:val="single"/>
                <w:lang w:val="fr-FR"/>
              </w:rPr>
            </w:pPr>
            <w:hyperlink r:id="rId7" w:history="1">
              <w:r w:rsidR="00460852" w:rsidRPr="00E16AB0">
                <w:rPr>
                  <w:rStyle w:val="Collegamentoipertestuale"/>
                  <w:bCs/>
                  <w:sz w:val="28"/>
                  <w:szCs w:val="28"/>
                  <w:lang w:val="fr-FR"/>
                </w:rPr>
                <w:t>https://www.fao.org/nutrition/education/food-dietary-guidelines/regions/countries/Spain/en</w:t>
              </w:r>
            </w:hyperlink>
          </w:p>
          <w:p w14:paraId="3903EB0F" w14:textId="77777777" w:rsidR="00460852" w:rsidRPr="00E16AB0" w:rsidRDefault="00460852" w:rsidP="00460852">
            <w:pPr>
              <w:jc w:val="both"/>
              <w:rPr>
                <w:bCs/>
                <w:color w:val="4472C4" w:themeColor="accent1"/>
                <w:sz w:val="28"/>
                <w:szCs w:val="28"/>
                <w:u w:val="single"/>
                <w:lang w:val="fr-FR"/>
              </w:rPr>
            </w:pPr>
          </w:p>
          <w:p w14:paraId="79C89144" w14:textId="479B77E0" w:rsidR="00460852" w:rsidRPr="00E16AB0" w:rsidRDefault="00397AC7" w:rsidP="00460852">
            <w:pPr>
              <w:jc w:val="both"/>
              <w:rPr>
                <w:bCs/>
                <w:color w:val="0070C0"/>
                <w:sz w:val="28"/>
                <w:szCs w:val="28"/>
                <w:u w:val="single"/>
                <w:lang w:val="fr-FR"/>
              </w:rPr>
            </w:pPr>
            <w:hyperlink r:id="rId8" w:history="1">
              <w:r w:rsidR="00350F60" w:rsidRPr="00E16AB0">
                <w:rPr>
                  <w:rStyle w:val="Collegamentoipertestuale"/>
                  <w:bCs/>
                  <w:sz w:val="28"/>
                  <w:szCs w:val="28"/>
                  <w:lang w:val="fr-FR"/>
                </w:rPr>
                <w:t>https://dietamediterranea.com/en/nutrition/</w:t>
              </w:r>
            </w:hyperlink>
          </w:p>
          <w:p w14:paraId="0ABE6F8F" w14:textId="7450A42D" w:rsidR="00350F60" w:rsidRPr="00E16AB0" w:rsidRDefault="00350F60" w:rsidP="00460852">
            <w:pPr>
              <w:jc w:val="both"/>
              <w:rPr>
                <w:bCs/>
                <w:sz w:val="28"/>
                <w:szCs w:val="28"/>
                <w:u w:val="single"/>
                <w:lang w:val="fr-FR"/>
              </w:rPr>
            </w:pPr>
          </w:p>
        </w:tc>
      </w:tr>
    </w:tbl>
    <w:p w14:paraId="3D1BE45B" w14:textId="67712925" w:rsidR="00892903" w:rsidRPr="00E16AB0" w:rsidRDefault="00892903" w:rsidP="00F83FCB">
      <w:pPr>
        <w:rPr>
          <w:b/>
          <w:bCs/>
          <w:color w:val="FFFFFF" w:themeColor="background1"/>
          <w:sz w:val="28"/>
          <w:szCs w:val="28"/>
          <w:lang w:val="fr-FR"/>
        </w:rPr>
      </w:pPr>
    </w:p>
    <w:sectPr w:rsidR="00892903" w:rsidRPr="00E16AB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2115" w14:textId="77777777" w:rsidR="00397AC7" w:rsidRDefault="00397AC7" w:rsidP="00FC7BF4">
      <w:pPr>
        <w:spacing w:after="0" w:line="240" w:lineRule="auto"/>
      </w:pPr>
      <w:r>
        <w:separator/>
      </w:r>
    </w:p>
  </w:endnote>
  <w:endnote w:type="continuationSeparator" w:id="0">
    <w:p w14:paraId="46CC8C05" w14:textId="77777777" w:rsidR="00397AC7" w:rsidRDefault="00397AC7"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eWeb"/>
      <w:spacing w:after="0"/>
      <w:ind w:left="-426"/>
      <w:jc w:val="both"/>
      <w:rPr>
        <w:sz w:val="18"/>
        <w:szCs w:val="18"/>
        <w:lang w:val="fr-FR"/>
      </w:rPr>
    </w:pPr>
    <w:r w:rsidRPr="00E16AB0">
      <w:rPr>
        <w:noProof/>
        <w:sz w:val="18"/>
        <w:szCs w:val="18"/>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AB0">
      <w:rPr>
        <w:noProof/>
        <w:sz w:val="18"/>
        <w:szCs w:val="18"/>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E16AB0">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982A" w14:textId="77777777" w:rsidR="00397AC7" w:rsidRDefault="00397AC7" w:rsidP="00FC7BF4">
      <w:pPr>
        <w:spacing w:after="0" w:line="240" w:lineRule="auto"/>
      </w:pPr>
      <w:r>
        <w:separator/>
      </w:r>
    </w:p>
  </w:footnote>
  <w:footnote w:type="continuationSeparator" w:id="0">
    <w:p w14:paraId="574D6FAB" w14:textId="77777777" w:rsidR="00397AC7" w:rsidRDefault="00397AC7"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650F0"/>
    <w:rsid w:val="00075AC2"/>
    <w:rsid w:val="000A0050"/>
    <w:rsid w:val="000A7B91"/>
    <w:rsid w:val="000B3A30"/>
    <w:rsid w:val="000B43AF"/>
    <w:rsid w:val="000F0148"/>
    <w:rsid w:val="00132554"/>
    <w:rsid w:val="00150295"/>
    <w:rsid w:val="00161B71"/>
    <w:rsid w:val="001C46A5"/>
    <w:rsid w:val="001D1CA0"/>
    <w:rsid w:val="001D1FF2"/>
    <w:rsid w:val="001F51C0"/>
    <w:rsid w:val="00202690"/>
    <w:rsid w:val="00216C7B"/>
    <w:rsid w:val="002239D4"/>
    <w:rsid w:val="002820F2"/>
    <w:rsid w:val="002A3693"/>
    <w:rsid w:val="002C4D1B"/>
    <w:rsid w:val="002E1428"/>
    <w:rsid w:val="00303D9D"/>
    <w:rsid w:val="00321526"/>
    <w:rsid w:val="00331829"/>
    <w:rsid w:val="00350F60"/>
    <w:rsid w:val="00392855"/>
    <w:rsid w:val="00397AC7"/>
    <w:rsid w:val="003A6BD1"/>
    <w:rsid w:val="003A772B"/>
    <w:rsid w:val="003B330A"/>
    <w:rsid w:val="003F5B60"/>
    <w:rsid w:val="00424AC3"/>
    <w:rsid w:val="00433129"/>
    <w:rsid w:val="00436292"/>
    <w:rsid w:val="00460852"/>
    <w:rsid w:val="00465618"/>
    <w:rsid w:val="004705B1"/>
    <w:rsid w:val="00475225"/>
    <w:rsid w:val="00497EBA"/>
    <w:rsid w:val="004C1D72"/>
    <w:rsid w:val="004E35B5"/>
    <w:rsid w:val="004E78D3"/>
    <w:rsid w:val="00501635"/>
    <w:rsid w:val="00540204"/>
    <w:rsid w:val="005969DA"/>
    <w:rsid w:val="00596BB7"/>
    <w:rsid w:val="005B5D51"/>
    <w:rsid w:val="005D035F"/>
    <w:rsid w:val="005E5E56"/>
    <w:rsid w:val="005F2CAA"/>
    <w:rsid w:val="006114D5"/>
    <w:rsid w:val="00644E8B"/>
    <w:rsid w:val="006467F3"/>
    <w:rsid w:val="00652F30"/>
    <w:rsid w:val="00654C7D"/>
    <w:rsid w:val="00657A93"/>
    <w:rsid w:val="00661672"/>
    <w:rsid w:val="0066385F"/>
    <w:rsid w:val="00685FA2"/>
    <w:rsid w:val="006B0174"/>
    <w:rsid w:val="006D0C71"/>
    <w:rsid w:val="00714C50"/>
    <w:rsid w:val="00720C51"/>
    <w:rsid w:val="007658B3"/>
    <w:rsid w:val="00773E37"/>
    <w:rsid w:val="00775B0F"/>
    <w:rsid w:val="0079171E"/>
    <w:rsid w:val="007A7710"/>
    <w:rsid w:val="007C4E21"/>
    <w:rsid w:val="008261EE"/>
    <w:rsid w:val="00831F19"/>
    <w:rsid w:val="00851887"/>
    <w:rsid w:val="008571F8"/>
    <w:rsid w:val="008657D8"/>
    <w:rsid w:val="00887D33"/>
    <w:rsid w:val="00892903"/>
    <w:rsid w:val="008D49CA"/>
    <w:rsid w:val="008E2B7E"/>
    <w:rsid w:val="00930F0B"/>
    <w:rsid w:val="009435CE"/>
    <w:rsid w:val="00960920"/>
    <w:rsid w:val="00974650"/>
    <w:rsid w:val="00981178"/>
    <w:rsid w:val="00A0047C"/>
    <w:rsid w:val="00A369D5"/>
    <w:rsid w:val="00A9249B"/>
    <w:rsid w:val="00B26E60"/>
    <w:rsid w:val="00B313F0"/>
    <w:rsid w:val="00B36EF8"/>
    <w:rsid w:val="00B437DD"/>
    <w:rsid w:val="00BA73A1"/>
    <w:rsid w:val="00C11418"/>
    <w:rsid w:val="00C43CB3"/>
    <w:rsid w:val="00CA57EB"/>
    <w:rsid w:val="00CB4721"/>
    <w:rsid w:val="00CB621A"/>
    <w:rsid w:val="00CD1635"/>
    <w:rsid w:val="00D21158"/>
    <w:rsid w:val="00D430E4"/>
    <w:rsid w:val="00D84D04"/>
    <w:rsid w:val="00E00BB2"/>
    <w:rsid w:val="00E16AB0"/>
    <w:rsid w:val="00E41E0E"/>
    <w:rsid w:val="00E46420"/>
    <w:rsid w:val="00E6043F"/>
    <w:rsid w:val="00E61FCB"/>
    <w:rsid w:val="00EB4071"/>
    <w:rsid w:val="00EE2202"/>
    <w:rsid w:val="00F00726"/>
    <w:rsid w:val="00F03722"/>
    <w:rsid w:val="00F051CD"/>
    <w:rsid w:val="00F07BCD"/>
    <w:rsid w:val="00F165FF"/>
    <w:rsid w:val="00F647EB"/>
    <w:rsid w:val="00F70414"/>
    <w:rsid w:val="00F83FCB"/>
    <w:rsid w:val="00FA2D12"/>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styleId="Menzionenonrisolta">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tamediterranea.com/en/nutrition/" TargetMode="External"/><Relationship Id="rId3" Type="http://schemas.openxmlformats.org/officeDocument/2006/relationships/settings" Target="settings.xml"/><Relationship Id="rId7" Type="http://schemas.openxmlformats.org/officeDocument/2006/relationships/hyperlink" Target="https://www.fao.org/nutrition/education/food-dietary-guidelines/regions/countries/Spai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643</Words>
  <Characters>3668</Characters>
  <Application>Microsoft Office Word</Application>
  <DocSecurity>0</DocSecurity>
  <Lines>30</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Domiziana Aureli</cp:lastModifiedBy>
  <cp:revision>14</cp:revision>
  <dcterms:created xsi:type="dcterms:W3CDTF">2021-10-12T18:25:00Z</dcterms:created>
  <dcterms:modified xsi:type="dcterms:W3CDTF">2021-12-13T15:26:00Z</dcterms:modified>
</cp:coreProperties>
</file>